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«Культура и искусство»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Народная художественная культура. Развитие местного традиционного народного художественного творчества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библиотечного обслуживания населения, комплектование и обеспечение сохранности библиотечных фондов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Организация библиотечного обслуживания.</w:t>
      </w:r>
    </w:p>
    <w:p w:rsidR="008062E2" w:rsidRPr="00645285" w:rsidRDefault="00645285">
      <w:r>
        <w:t>Комплектование библиотечного фонда.</w:t>
      </w:r>
    </w:p>
    <w:p w:rsidR="008062E2" w:rsidRPr="00645285" w:rsidRDefault="00645285">
      <w:r>
        <w:t>Учет библиотечного фонда.</w:t>
      </w:r>
    </w:p>
    <w:p w:rsidR="008062E2" w:rsidRPr="00645285" w:rsidRDefault="00645285">
      <w:r>
        <w:t>Защита библиотечного фонда.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Сценарно-режиссерские основы культурно-досуговой деятельности. Режиссура театрализованных представлений и праздников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досуга и обеспечение жителей услугами организаций культуры. Организация деятельности культурно-досуговых организаций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