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«Концертная и студийная звукорежиссура»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Основы акустики, акустические возможности театральных и концертных залов, цирков</w:t>
      </w:r>
    </w:p>
    <w:p w:rsidR="008062E2" w:rsidRPr="00645285" w:rsidRDefault="00645285">
      <w:r>
        <w:t>Работа звукорежиссёра с музыкой академических жанров.</w:t>
      </w:r>
    </w:p>
    <w:p w:rsidR="008062E2" w:rsidRPr="00645285" w:rsidRDefault="00645285">
      <w:r>
        <w:t>Акустическое проектирование залов.</w:t>
      </w:r>
    </w:p>
    <w:p w:rsidR="008062E2" w:rsidRPr="00645285" w:rsidRDefault="00645285">
      <w:r>
        <w:t>Общие принципы звукоусиления в концертных залах.</w:t>
      </w:r>
    </w:p>
    <w:p w:rsidR="008062E2" w:rsidRPr="00645285" w:rsidRDefault="00645285">
      <w:r>
        <w:t>Типичные ошибки звукоусиления в концертных залах.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