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«Оториноларингология» в объёме 120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Нормативно-правовые основы здравоохранения в Российской Федерации</w:t>
      </w:r>
    </w:p>
    <w:p w:rsidR="008062E2" w:rsidRPr="00645285" w:rsidRDefault="00645285">
      <w:r>
        <w:t>Федеральные законы и указы Президента в сфере здравоохранения.</w:t>
      </w:r>
    </w:p>
    <w:p w:rsidR="008062E2" w:rsidRPr="00645285" w:rsidRDefault="00645285">
      <w:r>
        <w:t>Акты Правительства и другие нормативные документы в сфере здравоохранения.</w:t>
      </w:r>
    </w:p>
    <w:p w:rsidR="008062E2" w:rsidRPr="00645285" w:rsidRDefault="00645285">
      <w:r>
        <w:t>Лицензирование медицинской деятельности.</w:t>
      </w:r>
    </w:p>
    <w:p w:rsidR="008062E2" w:rsidRPr="00645285" w:rsidRDefault="00645285">
      <w:r>
        <w:t>Государственная политика и государственные проекты, проблемы и реформы в сфере здравоохранения.</w:t>
      </w:r>
    </w:p>
    <w:p w:rsidR="008062E2" w:rsidRPr="00645285" w:rsidRDefault="00645285">
      <w:r>
        <w:t>Юридическая ответственность в сфере здравоохранения.</w:t>
      </w:r>
    </w:p>
    <w:p w:rsidR="008062E2" w:rsidRPr="00645285" w:rsidRDefault="00645285">
      <w:r>
        <w:t>Международные акты и международный опыт в сфере здравоохранения.</w:t>
      </w:r>
    </w:p>
    <w:p w:rsidR="008062E2" w:rsidRPr="00645285" w:rsidRDefault="00645285">
      <w:r>
        <w:t>Изменения в законодательстве в сфере здравоохранения за 2018-2019 года.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Проведение обследования пациентов в целях выявления заболеваний и (или) состояний уха, горла, носа и установления диагноза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Назначение лечения пациентам с заболеваниями и (или) состояниями уха, горла, носа, контроль его эффективности и безопасности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Проведение и контроль эффективности медицинской реабилитации пациентов с заболеваниями и (или) состояниями уха, горла, носа, в т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Проведение медицинских освидетельствований и медицинских экспертиз в отношении пациентов с заболеваниями и (или) состояниями уха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Проведение и контроль эффективности мероприятий по профилактике и формированию здорового образа жизни, санитарно-гигиеническому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