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«Оториноларингология» в объёме 72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здравоохранения в Российской Федерации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обследования пациентов в целях выявления заболеваний и (или) состояний уха, горла, носа и установления диагноза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Назначение лечения пациентам с заболеваниями и (или) состояниями уха, горла, носа, контроль его эффективности и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 контроль эффективности медицинской реабилитации пациентов с заболеваниями и (или) состояниями уха, горла, носа, в т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медицинских освидетельствований и медицинских экспертиз в отношении пациентов с заболеваниями и (или) состояниями уха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