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«Налоги и налогообложение»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Учёт основных средств и нематериальных активов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Учёт материально-производственных запасов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Учёт затрат на производство продукции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Налоговая отчетность, новшества в налоговом законодательстве</w:t>
      </w:r>
    </w:p>
    <w:p w:rsidR="008062E2" w:rsidRPr="00645285" w:rsidRDefault="00645285">
      <w:r>
        <w:t>Налоговая отчетность.</w:t>
      </w:r>
    </w:p>
    <w:p w:rsidR="008062E2" w:rsidRPr="00645285" w:rsidRDefault="00645285">
      <w:r>
        <w:t>Формы налоговой отчетности.</w:t>
      </w:r>
    </w:p>
    <w:p w:rsidR="008062E2" w:rsidRPr="00645285" w:rsidRDefault="00645285">
      <w:r>
        <w:t>Ответственность за искажение налоговой отчетности.</w:t>
      </w:r>
    </w:p>
    <w:p w:rsidR="008062E2" w:rsidRPr="00645285" w:rsidRDefault="00645285">
      <w:r>
        <w:t>Новшества в налоговом законодательстве с 2025 г..</w:t>
      </w:r>
    </w:p>
    <w:p w:rsidR="008062E2" w:rsidRPr="00645285" w:rsidRDefault="00645285">
      <w:r>
        <w:t>Новшества в налоговом законодательстве с 2026 г..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Формирование налоговой базы, расчет налогов</w:t>
      </w:r>
    </w:p>
    <w:p w:rsidR="008062E2" w:rsidRPr="00645285" w:rsidRDefault="00645285">
      <w:r>
        <w:t>Понятие налоговой базы и методы ее формирования, порядок уплаты налогов.</w:t>
      </w:r>
    </w:p>
    <w:p w:rsidR="008062E2" w:rsidRPr="00645285" w:rsidRDefault="00645285">
      <w:r>
        <w:t>Налоговая база и расчет налога на добавленную стоимость.</w:t>
      </w:r>
    </w:p>
    <w:p w:rsidR="008062E2" w:rsidRPr="00645285" w:rsidRDefault="00645285">
      <w:r>
        <w:t>Налоговая база и порядок исчисления налога на доходы физических лиц и налога на имущество физических лиц.</w:t>
      </w:r>
    </w:p>
    <w:p w:rsidR="008062E2" w:rsidRPr="00645285" w:rsidRDefault="00645285">
      <w:r>
        <w:t>Порядок формирования налоговой базы и расчет налога на прибыль организаций.</w:t>
      </w:r>
    </w:p>
    <w:p w:rsidR="008062E2" w:rsidRPr="00645285" w:rsidRDefault="00645285">
      <w:r>
        <w:t>Налоговая база и расчет налога на имущество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Налоговое планирование</w:t>
      </w:r>
    </w:p>
    <w:p w:rsidR="008062E2" w:rsidRPr="00645285" w:rsidRDefault="00645285">
      <w:r>
        <w:t>Сущность и принципы налогового планирования.</w:t>
      </w:r>
    </w:p>
    <w:p w:rsidR="008062E2" w:rsidRPr="00645285" w:rsidRDefault="00645285">
      <w:r>
        <w:t>Организация налогового планирования на предприятии.</w:t>
      </w:r>
    </w:p>
    <w:p w:rsidR="008062E2" w:rsidRPr="00645285" w:rsidRDefault="00645285">
      <w:r>
        <w:t>Инструменты налогового планирования.</w:t>
      </w:r>
    </w:p>
    <w:p w:rsidR="008062E2" w:rsidRPr="00645285" w:rsidRDefault="00645285">
      <w:r>
        <w:t>Учетная политика организации для целей налогового планирования.</w:t>
      </w:r>
    </w:p>
    <w:p w:rsidR="008062E2" w:rsidRPr="00645285" w:rsidRDefault="00645285">
      <w:r>
        <w:t>Аспекты договора, влияющие на режим налогообложения.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