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«Специалист по внутреннему контролю (внутренний контролер)»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Контроль и координация деятельности систем внутреннего контроля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Служба внутреннего контроля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Мониторинг и план действий в чрезвычайных ситуациях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Внутренний контроль, стандартизация в бюджетной сфере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Внутренний контроль и бухучет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Финансовый контроль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Внутренний контроль и внутренний аудит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Риски и комплаенс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Корпоративное право и внутренний контроль в сфере регулирования труда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Отраслевые особенности осуществления внутреннего контроля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11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Система внутреннего контроля и её оценка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12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Внутренний аудит как составная часть системы внутреннего контроля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13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Методология, приемы и методы внутреннего аудита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Финансовая составляющая экономической безопасности организации. Финансовая диагностика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15</w:t>
            </w:r>
          </w:p>
        </w:tc>
        <w:tc>
          <w:tcPr>
            <w:tcW w:w="6657" w:type="dxa"/>
          </w:tcPr>
          <w:p w:rsidR="00C962F2" w:rsidRDefault="00C962F2">
            <w:r w:rsidRPr="00B35F80">
              <w:t>Кадровая составляющая экономической безопасности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Информационная составляющая экономической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17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Текущий контроль выполнения требований экономической безопасности в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18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рисками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Построение системы экономической безопасности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Отраслевые особенности экономической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21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