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сфере государственных, муниципальных и корпоративных закупок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участия в закупках. Требования к участникам закупок. Спецсчет. Электронная подпись. Регистрация в ЕИС</w:t>
      </w:r>
    </w:p>
    <w:p w:rsidR="008062E2" w:rsidRPr="00645285" w:rsidRDefault="00645285">
      <w:r>
        <w:t>Основы организации фирмы-поставщика.</w:t>
      </w:r>
    </w:p>
    <w:p w:rsidR="008062E2" w:rsidRPr="00645285" w:rsidRDefault="00645285">
      <w:r>
        <w:t>Основы участия в закупках.</w:t>
      </w:r>
    </w:p>
    <w:p w:rsidR="008062E2" w:rsidRPr="00645285" w:rsidRDefault="00645285">
      <w:r>
        <w:t>Открытие и использование спецсчета.</w:t>
      </w:r>
    </w:p>
    <w:p w:rsidR="008062E2" w:rsidRPr="00645285" w:rsidRDefault="00645285">
      <w:r>
        <w:t>Электронная подпись.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Аккредитация на торговых площадках, использование торговых площадок.</w:t>
      </w:r>
    </w:p>
    <w:p w:rsidR="008062E2" w:rsidRPr="00645285" w:rsidRDefault="00645285">
      <w:r>
        <w:t>Федеральные и коммерческие торговые площадки.</w:t>
      </w:r>
    </w:p>
    <w:p w:rsidR="008062E2" w:rsidRPr="00645285" w:rsidRDefault="00645285">
      <w:r>
        <w:t>Сегментация клиентов и особенности продаж каждой категории заказчиков.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задание. Предварительная оценка эффективности участия в закупке. Ограничения на участие в закупке</w:t>
      </w:r>
    </w:p>
    <w:p w:rsidR="008062E2" w:rsidRPr="00645285" w:rsidRDefault="00645285">
      <w:r>
        <w:t>Поиск информации о закупках в ЕИС и на электронных площадках.</w:t>
      </w:r>
    </w:p>
    <w:p w:rsidR="008062E2" w:rsidRPr="00645285" w:rsidRDefault="00645285">
      <w:r>
        <w:t>Оценка технического задания.</w:t>
      </w:r>
    </w:p>
    <w:p w:rsidR="008062E2" w:rsidRPr="00645285" w:rsidRDefault="00645285">
      <w:r>
        <w:t>Предварительная оценка эффективности участия в закупке.</w:t>
      </w:r>
    </w:p>
    <w:p w:rsidR="008062E2" w:rsidRPr="00645285" w:rsidRDefault="00645285">
      <w:r>
        <w:t>Ограничения на участие в закупке.</w:t>
      </w:r>
    </w:p>
    <w:p w:rsidR="008062E2" w:rsidRPr="00645285" w:rsidRDefault="00645285">
      <w:r>
        <w:t>Заполнение и подача заявки.</w:t>
      </w:r>
    </w:p>
    <w:p w:rsidR="008062E2" w:rsidRPr="00645285" w:rsidRDefault="00645285">
      <w:r>
        <w:t>Национальный режим. Квоты на закупку российских товаров.</w:t>
      </w:r>
    </w:p>
    <w:p w:rsidR="008062E2" w:rsidRPr="00645285" w:rsidRDefault="00645285">
      <w:r>
        <w:t>Финансовые условия участия в закупке, обеспечение заявки и исполнения.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участия в запросе котировок, аукционе, конкурсе. Стратегия и тактика подачи ценовых предложений</w:t>
      </w:r>
    </w:p>
    <w:p w:rsidR="008062E2" w:rsidRPr="00645285" w:rsidRDefault="00645285">
      <w:r>
        <w:t>Особенности участия в запросе котировок и запросе предложений.</w:t>
      </w:r>
    </w:p>
    <w:p w:rsidR="008062E2" w:rsidRPr="00645285" w:rsidRDefault="00645285">
      <w:r>
        <w:t>Особенности участия в аукционе.</w:t>
      </w:r>
    </w:p>
    <w:p w:rsidR="008062E2" w:rsidRPr="00645285" w:rsidRDefault="00645285">
      <w:r>
        <w:t>Особенности участия в конкурсе.</w:t>
      </w:r>
    </w:p>
    <w:p w:rsidR="008062E2" w:rsidRPr="00645285" w:rsidRDefault="00645285">
      <w:r>
        <w:t>Стратегия и тактика подачи ценовых предложений.</w:t>
      </w:r>
    </w:p>
    <w:p w:rsidR="008062E2" w:rsidRPr="00645285" w:rsidRDefault="00645285">
      <w:r>
        <w:t>Решение о минимальном ценовом предложении в закупке. Переторжка.</w:t>
      </w:r>
    </w:p>
    <w:p w:rsidR="008062E2" w:rsidRPr="00645285" w:rsidRDefault="00645285">
      <w:r>
        <w:t>Антидемпинговые меры.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