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«Бухгалтерский учёт»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8062E2" w:rsidRPr="00645285" w:rsidRDefault="00645285">
      <w:r>
        <w:t>Актуальные изменения в законодательстве о бухгалтерском учете в 2026 году.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Лист 07 «Отчет о целевом использовании имущества». Подготовка пояснений, подбор документов для внутреннего и внешнего налогового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Цифровизация, онлайн-сервисы и цифровые инструменты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Сдача отчетности организации (все виды отчетности)</w:t>
      </w:r>
    </w:p>
    <w:p w:rsidR="008062E2" w:rsidRPr="00645285" w:rsidRDefault="00645285">
      <w:r>
        <w:t>Бухгалтерская отчетность НКО в 2026 году.</w:t>
      </w:r>
    </w:p>
    <w:p w:rsidR="008062E2" w:rsidRPr="00645285" w:rsidRDefault="00645285">
      <w:r>
        <w:t>Налоговая отчетность НКО в 2026 году и система уведомлений.</w:t>
      </w:r>
    </w:p>
    <w:p w:rsidR="008062E2" w:rsidRPr="00645285" w:rsidRDefault="00645285">
      <w:r>
        <w:t>Отчетность в СФР и исправление налоговых ошибок онлайн.</w:t>
      </w:r>
    </w:p>
    <w:p w:rsidR="008062E2" w:rsidRPr="00645285" w:rsidRDefault="00645285">
      <w:r>
        <w:t>Отчетность НКО в Минюст в 2026 году.</w:t>
      </w:r>
    </w:p>
    <w:p w:rsidR="008062E2" w:rsidRPr="00645285" w:rsidRDefault="00645285">
      <w:r>
        <w:t>Статистическая отчетность в Росстат: цифровая выборка.</w:t>
      </w:r>
    </w:p>
    <w:p w:rsidR="008062E2" w:rsidRPr="00645285" w:rsidRDefault="00645285">
      <w:r>
        <w:t>Кадровая отчетность НКО на trudvsem.ru («Работа в России»).</w:t>
      </w:r>
    </w:p>
    <w:p w:rsidR="008062E2" w:rsidRPr="00645285" w:rsidRDefault="00645285">
      <w:r>
        <w:t>Отчетность в системе «Электронный бюджет».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