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Осуществление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в Единой информационной системе</w:t>
      </w:r>
    </w:p>
    <w:p w:rsidR="008062E2" w:rsidRPr="00645285" w:rsidRDefault="00645285">
      <w:r>
        <w:t>Порядок регистрации новых участников закупок в ЕИС в сфере закупок.</w:t>
      </w:r>
    </w:p>
    <w:p w:rsidR="008062E2" w:rsidRPr="00645285" w:rsidRDefault="00645285">
      <w:r>
        <w:t>Начало работы с ЕИС.</w:t>
      </w:r>
    </w:p>
    <w:p w:rsidR="008062E2" w:rsidRPr="00645285" w:rsidRDefault="00645285">
      <w:r>
        <w:t>Руководство пользователя по работе с функционалом ЕИС в сфере закупок в части формирования сведений о принятых и принимаемых бюджетных обязательствах.</w:t>
      </w:r>
    </w:p>
    <w:p w:rsidR="008062E2" w:rsidRPr="00645285" w:rsidRDefault="00645285">
      <w:r>
        <w:t>Часто задаваемые вопросы участников закупок.</w:t>
      </w:r>
    </w:p>
    <w:p w:rsidR="008062E2" w:rsidRPr="00645285" w:rsidRDefault="00645285">
      <w:r>
        <w:t>Руководство пользователя ЕИС в сфере закупок для работы в Личном кабинете Поставщика (участника закупки).</w:t>
      </w:r>
    </w:p>
    <w:p w:rsidR="008062E2" w:rsidRPr="00645285" w:rsidRDefault="00645285">
      <w:r>
        <w:t>Единый агрегатор торговли.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Работа в порталах малых закупок на примере ЕАТ «Березка»</w:t>
      </w:r>
    </w:p>
    <w:p w:rsidR="008062E2" w:rsidRPr="00645285" w:rsidRDefault="00645285">
      <w:r>
        <w:t>Какие закупки следует проводить с использованием ЕАТ «Березка».</w:t>
      </w:r>
    </w:p>
    <w:p w:rsidR="008062E2" w:rsidRPr="00645285" w:rsidRDefault="00645285">
      <w:r>
        <w:t>Аккредитация на ЕАТ.</w:t>
      </w:r>
    </w:p>
    <w:p w:rsidR="008062E2" w:rsidRPr="00645285" w:rsidRDefault="00645285">
      <w:r>
        <w:t>Настройка рабочего места пользователя Единого Агрегатора Торговли для работы в Личном кабинете.</w:t>
      </w:r>
    </w:p>
    <w:p w:rsidR="008062E2" w:rsidRPr="00645285" w:rsidRDefault="00645285">
      <w:r>
        <w:t>Установка и настройка ПО КриптоПро CSP.</w:t>
      </w:r>
    </w:p>
    <w:p w:rsidR="008062E2" w:rsidRPr="00645285" w:rsidRDefault="00645285">
      <w:r>
        <w:t>Назначение и условия применения ЕАТ.</w:t>
      </w:r>
    </w:p>
    <w:p w:rsidR="008062E2" w:rsidRPr="00645285" w:rsidRDefault="00645285">
      <w:r>
        <w:t>Регистрация в ЕАТ организации Заказчика и другие аспекты использования ЕАТ.</w:t>
      </w:r>
    </w:p>
    <w:p w:rsidR="008062E2" w:rsidRPr="00645285" w:rsidRDefault="00645285">
      <w:r>
        <w:t>Проведение электронной малой закупки у единственного поставщика по Закону N 44-ФЗ.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работ по экспертизе и консультированию в сфере закупок</w:t>
      </w:r>
    </w:p>
    <w:p w:rsidR="008062E2" w:rsidRPr="00645285" w:rsidRDefault="00645285">
      <w:r>
        <w:t>Консалтинг в сфере закупок.</w:t>
      </w:r>
    </w:p>
    <w:p w:rsidR="008062E2" w:rsidRPr="00645285" w:rsidRDefault="00645285">
      <w:r>
        <w:t>Управление консалтинговой организацией.</w:t>
      </w:r>
    </w:p>
    <w:p w:rsidR="008062E2" w:rsidRPr="00645285" w:rsidRDefault="00645285">
      <w:r>
        <w:t>Разработка консультационного проекта.</w:t>
      </w:r>
    </w:p>
    <w:p w:rsidR="008062E2" w:rsidRPr="00645285" w:rsidRDefault="00645285">
      <w:r>
        <w:t>Профессиональные качества и профессиональный уровень работников в консалтинговой организации.</w:t>
      </w:r>
    </w:p>
    <w:p w:rsidR="008062E2" w:rsidRPr="00645285" w:rsidRDefault="00645285">
      <w:r>
        <w:t>Исследование теоретических проблем закупочной деятельности.</w:t>
      </w:r>
    </w:p>
    <w:p w:rsidR="008062E2" w:rsidRPr="00645285" w:rsidRDefault="00645285">
      <w:r>
        <w:t>Исследование практических проблем закупочной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