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«Юриспруденция»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8062E2" w:rsidRPr="00645285" w:rsidRDefault="00645285">
      <w:r>
        <w:t>Сроки.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Налоговое законодательство</w:t>
      </w:r>
    </w:p>
    <w:p w:rsidR="008062E2" w:rsidRPr="00645285" w:rsidRDefault="00645285">
      <w:r>
        <w:t>Налоговое законодательство.</w:t>
      </w:r>
    </w:p>
    <w:p w:rsidR="008062E2" w:rsidRPr="00645285" w:rsidRDefault="00645285">
      <w:r>
        <w:t>Субъекты налогового права.</w:t>
      </w:r>
    </w:p>
    <w:p w:rsidR="008062E2" w:rsidRPr="00645285" w:rsidRDefault="00645285">
      <w:r>
        <w:t>Виды налогов и их классификация.</w:t>
      </w:r>
    </w:p>
    <w:p w:rsidR="008062E2" w:rsidRPr="00645285" w:rsidRDefault="00645285">
      <w:r>
        <w:t>Ответственность за нарушение налогового законодательства.</w:t>
      </w:r>
    </w:p>
    <w:p w:rsidR="008062E2" w:rsidRPr="00645285" w:rsidRDefault="00645285">
      <w:r>
        <w:t>Способы защиты прав. Обжалование как способ защиты прав.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