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«Экологическая безопасность»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экологической безопасности и охраны окружающей среды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8062E2" w:rsidRPr="00645285" w:rsidRDefault="00645285">
      <w:r>
        <w:t>Правила квотирования выбросов загрязняющих веществ (за исключением радиоактивных веществ) в атмосферный воздух.</w:t>
      </w:r>
    </w:p>
    <w:p w:rsidR="008062E2" w:rsidRPr="00645285" w:rsidRDefault="00645285">
      <w:r>
        <w:t>Водноохранная деятельность на предприятии..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Экономические методы регулирования в области охраны окружающей среды</w:t>
      </w:r>
    </w:p>
    <w:p w:rsidR="008062E2" w:rsidRPr="00645285" w:rsidRDefault="00645285">
      <w:r>
        <w:t>Экономические механизмы регулирования в области охраны окружающей среды..</w:t>
      </w:r>
    </w:p>
    <w:p w:rsidR="008062E2" w:rsidRPr="00645285" w:rsidRDefault="00645285">
      <w:r>
        <w:t>Экономические механизмы регулирования деятельности по обращению с отходами..</w:t>
      </w:r>
    </w:p>
    <w:p w:rsidR="008062E2" w:rsidRPr="00645285" w:rsidRDefault="00645285">
      <w:r>
        <w:t>Расчет и уплата за негативное воздействие на окружающую среду..</w:t>
      </w:r>
    </w:p>
    <w:p w:rsidR="008062E2" w:rsidRPr="00645285" w:rsidRDefault="00645285">
      <w:r>
        <w:t>Расчет и уплата экологического сбора..</w:t>
      </w:r>
    </w:p>
    <w:p w:rsidR="008062E2" w:rsidRPr="00645285" w:rsidRDefault="00645285">
      <w:r>
        <w:t>Расчет суммы платы за выбросы загрязняющих веществ в атмосферный воздух стационарными объектами..</w:t>
      </w:r>
    </w:p>
    <w:p w:rsidR="008062E2" w:rsidRPr="00645285" w:rsidRDefault="00645285">
      <w:r>
        <w:t>Расчет суммы платы за сбросы загрязняющих веществ в водные объекты..</w:t>
      </w:r>
    </w:p>
    <w:p w:rsidR="008062E2" w:rsidRPr="00645285" w:rsidRDefault="00645285">
      <w:r>
        <w:t>Размер вреда, причиненного почвам как объекту охраны окружающей среды..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